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17365D"/>
          <w:sz w:val="44"/>
        </w:rPr>
        <w:t>Physical Protection Policy</w:t>
      </w:r>
    </w:p>
    <w:p>
      <w:pPr>
        <w:jc w:val="center"/>
      </w:pPr>
      <w:r>
        <w:rPr>
          <w:rFonts w:ascii="Times New Roman" w:hAnsi="Times New Roman"/>
          <w:b/>
          <w:color w:val="6E3D1D"/>
          <w:sz w:val="24"/>
        </w:rPr>
        <w:t>NIST SP 800-171 Rev 2  ·  3.10  ·  CMMC Level 2  ·  Policy Template</w:t>
      </w:r>
    </w:p>
    <w:p>
      <w:r>
        <w:rPr>
          <w:i/>
          <w:color w:val="6B7280"/>
          <w:sz w:val="20"/>
        </w:rPr>
        <w:t>This is a starting-point template, not a finished compliance artifact. A policy must reflect YOUR organization's actual practices and environment; a generic, untailored copy will not satisfy a CMMC Level 2 assessment. Complete every bracketed prompt and tailor each requirement before use. This is not legal or assessment advice.</w:t>
      </w:r>
    </w:p>
    <w:p>
      <w:pPr>
        <w:pStyle w:val="Heading1"/>
      </w:pPr>
      <w:r>
        <w:t>1. Purpose</w:t>
      </w:r>
    </w:p>
    <w:p>
      <w:r>
        <w:t>[State why this policy exists: to implement the Physical Protection (3.10) requirements of NIST SP 800-171 Rev 2 and protect Controlled Unclassified Information (CUI).]</w:t>
      </w:r>
    </w:p>
    <w:p>
      <w:pPr>
        <w:pStyle w:val="Heading1"/>
      </w:pPr>
      <w:r>
        <w:t>2. Scope</w:t>
      </w:r>
    </w:p>
    <w:p>
      <w:r>
        <w:t>[Identify the systems, people, and information this policy applies to: the CUI boundary, the in-scope assets, and the personnel and providers that access them.]</w:t>
      </w:r>
    </w:p>
    <w:p>
      <w:pPr>
        <w:pStyle w:val="Heading1"/>
      </w:pPr>
      <w:r>
        <w:t>3. Policy</w:t>
      </w:r>
    </w:p>
    <w:p>
      <w:r>
        <w:t>The organization implements the following Physical Protection requirements. For each, state the policy and how it is enforced. Refer to NIST SP 800-171 Rev 2 for each requirement statement.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296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6048"/>
          </w:tcPr>
          <w:p>
            <w:r>
              <w:rPr>
                <w:b/>
              </w:rPr>
              <w:t>Policy statement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</w:tr>
      <w:tr>
        <w:tc>
          <w:tcPr>
            <w:tcW w:type="dxa" w:w="1296"/>
          </w:tcPr>
          <w:p>
            <w:r>
              <w:t>3.10.1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3.10.2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3.10.3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3.10.4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3.10.5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3.10.6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</w:tbl>
    <w:p>
      <w:pPr>
        <w:pStyle w:val="Heading1"/>
      </w:pPr>
      <w:r>
        <w:t>4. Roles and responsibilities</w:t>
      </w:r>
    </w:p>
    <w:p>
      <w:r>
        <w:t>[Name the roles accountable for this policy and their responsibilities.]</w:t>
      </w:r>
    </w:p>
    <w:p>
      <w:pPr>
        <w:pStyle w:val="Heading1"/>
      </w:pPr>
      <w:r>
        <w:t>5. Review and maintenance</w:t>
      </w:r>
    </w:p>
    <w:p>
      <w:r>
        <w:t>[State the review cadence (at least annually) and who approves changes.]</w:t>
      </w:r>
    </w:p>
    <w:p>
      <w:r>
        <w:rPr>
          <w:i/>
        </w:rPr>
        <w:t>Glacier Byte Technology helps defense contractors complete and tailor this document and get assessment-ready for CMMC Level 2. Start a gap assessment: https://glacierbytetechnology.com/cmmc/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Times New Roman" w:hAnsi="Times New Roman"/>
        <w:color w:val="6B7280"/>
        <w:sz w:val="18"/>
      </w:rPr>
      <w:t>glacierbytetechnology.com/cmmc</w:t>
      <w:tab/>
      <w:t>Glacier Byte Technology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Times New Roman" w:hAnsi="Times New Roman"/>
        <w:color w:val="6B7280"/>
        <w:sz w:val="18"/>
      </w:rPr>
      <w:t>Glacier Byte Technology LLC</w:t>
      <w:tab/>
      <w:t>Physical Protection Policy (Template)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E101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81B2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